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510445</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p>
    <w:p>
      <w:pPr>
        <w:pStyle w:val="14"/>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7.19.2</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widowControl w:val="0"/>
              <w:numPr>
                <w:ilvl w:val="0"/>
                <w:numId w:val="6"/>
              </w:numPr>
              <w:overflowPunct/>
              <w:autoSpaceDE/>
              <w:autoSpaceDN/>
              <w:adjustRightInd/>
              <w:spacing w:after="0"/>
              <w:ind w:hanging="357"/>
              <w:jc w:val="both"/>
              <w:textAlignment w:val="auto"/>
              <w:rPr>
                <w:bCs/>
                <w:sz w:val="20"/>
                <w:szCs w:val="20"/>
                <w:highlight w:val="none"/>
              </w:rPr>
            </w:pPr>
            <w:bookmarkStart w:id="0" w:name="_Hlk153472406"/>
            <w:r>
              <w:rPr>
                <w:bCs/>
                <w:sz w:val="20"/>
                <w:szCs w:val="20"/>
                <w:highlight w:val="none"/>
                <w:lang w:eastAsia="zh-CN"/>
              </w:rPr>
              <w:t>Evaluate testability, interoperability,</w:t>
            </w:r>
            <w:bookmarkEnd w:id="0"/>
            <w:r>
              <w:rPr>
                <w:bCs/>
                <w:sz w:val="20"/>
                <w:szCs w:val="20"/>
                <w:highlight w:val="none"/>
                <w:lang w:eastAsia="zh-CN"/>
              </w:rPr>
              <w:t xml:space="preserve"> and </w:t>
            </w:r>
            <w:r>
              <w:rPr>
                <w:bCs/>
                <w:sz w:val="20"/>
                <w:szCs w:val="20"/>
                <w:highlight w:val="none"/>
              </w:rPr>
              <w:t>impacts on RRM requirements and performance</w:t>
            </w:r>
            <w:r>
              <w:rPr>
                <w:bCs/>
                <w:sz w:val="20"/>
                <w:szCs w:val="20"/>
                <w:highlight w:val="none"/>
                <w:lang w:eastAsia="zh-CN"/>
              </w:rPr>
              <w:t xml:space="preserve"> [RAN4]</w:t>
            </w:r>
          </w:p>
          <w:p>
            <w:pPr>
              <w:widowControl w:val="0"/>
              <w:numPr>
                <w:ilvl w:val="1"/>
                <w:numId w:val="6"/>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 xml:space="preserve">Study the impacts on requirements based on RAN2 assumptions, and coordinate with RAN2 if needed </w:t>
            </w:r>
          </w:p>
          <w:p>
            <w:pPr>
              <w:widowControl w:val="0"/>
              <w:numPr>
                <w:ilvl w:val="1"/>
                <w:numId w:val="6"/>
              </w:numPr>
              <w:tabs>
                <w:tab w:val="left" w:pos="720"/>
              </w:tabs>
              <w:overflowPunct/>
              <w:autoSpaceDE/>
              <w:autoSpaceDN/>
              <w:adjustRightInd/>
              <w:spacing w:after="0"/>
              <w:jc w:val="both"/>
              <w:textAlignment w:val="auto"/>
              <w:rPr>
                <w:bCs/>
                <w:sz w:val="20"/>
                <w:szCs w:val="20"/>
                <w:highlight w:val="none"/>
                <w:lang w:val="en-US"/>
              </w:rPr>
            </w:pPr>
            <w:r>
              <w:rPr>
                <w:rFonts w:hint="eastAsia"/>
                <w:bCs/>
                <w:sz w:val="20"/>
                <w:szCs w:val="20"/>
                <w:highlight w:val="none"/>
                <w:u w:val="single"/>
                <w:lang w:val="en-US"/>
              </w:rPr>
              <w:t>Study the testability and interoperability based on RAN2 framework (e.g., number of cells to measure, beams etc.)</w:t>
            </w:r>
          </w:p>
          <w:p>
            <w:pPr>
              <w:pStyle w:val="28"/>
              <w:widowControl w:val="0"/>
              <w:numPr>
                <w:ilvl w:val="1"/>
                <w:numId w:val="6"/>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4</w:t>
            </w:r>
            <w:r>
              <w:rPr>
                <w:rFonts w:hint="eastAsia"/>
                <w:bCs/>
                <w:sz w:val="20"/>
                <w:szCs w:val="20"/>
                <w:highlight w:val="none"/>
                <w:lang w:val="en-US"/>
              </w:rPr>
              <w:t xml:space="preserve">: Leverage the work from “AI/ML for NR air interface” led by RAN1 and avoid the duplicate study for testability and interoperability. </w:t>
            </w:r>
          </w:p>
          <w:p>
            <w:pPr>
              <w:pStyle w:val="28"/>
              <w:widowControl w:val="0"/>
              <w:numPr>
                <w:ilvl w:val="1"/>
                <w:numId w:val="6"/>
              </w:numPr>
              <w:overflowPunct/>
              <w:autoSpaceDE/>
              <w:autoSpaceDN/>
              <w:adjustRightInd/>
              <w:spacing w:after="0"/>
              <w:ind w:firstLineChars="0"/>
              <w:jc w:val="both"/>
              <w:textAlignment w:val="auto"/>
              <w:rPr>
                <w:bCs/>
                <w:sz w:val="20"/>
                <w:szCs w:val="20"/>
                <w:highlight w:val="none"/>
                <w:lang w:val="en-US"/>
              </w:rPr>
            </w:pPr>
            <w:r>
              <w:rPr>
                <w:rFonts w:hint="eastAsia"/>
                <w:bCs/>
                <w:sz w:val="20"/>
                <w:szCs w:val="20"/>
                <w:highlight w:val="none"/>
                <w:lang w:val="en-US"/>
              </w:rPr>
              <w:t>N</w:t>
            </w:r>
            <w:r>
              <w:rPr>
                <w:bCs/>
                <w:sz w:val="20"/>
                <w:szCs w:val="20"/>
                <w:highlight w:val="none"/>
                <w:lang w:val="en-US"/>
              </w:rPr>
              <w:t>OTE</w:t>
            </w:r>
            <w:r>
              <w:rPr>
                <w:rFonts w:hint="eastAsia"/>
                <w:bCs/>
                <w:sz w:val="20"/>
                <w:szCs w:val="20"/>
                <w:highlight w:val="none"/>
                <w:lang w:val="en-US"/>
              </w:rPr>
              <w:t xml:space="preserve"> </w:t>
            </w:r>
            <w:r>
              <w:rPr>
                <w:bCs/>
                <w:sz w:val="20"/>
                <w:szCs w:val="20"/>
                <w:highlight w:val="none"/>
                <w:lang w:val="en-US"/>
              </w:rPr>
              <w:t>5</w:t>
            </w:r>
            <w:r>
              <w:rPr>
                <w:rFonts w:hint="eastAsia"/>
                <w:bCs/>
                <w:sz w:val="20"/>
                <w:szCs w:val="20"/>
                <w:highlight w:val="none"/>
                <w:lang w:val="en-US"/>
              </w:rPr>
              <w:t>: Avoid the overlaps with RAN2 work for evaluation</w:t>
            </w:r>
          </w:p>
          <w:p>
            <w:pPr>
              <w:widowControl w:val="0"/>
              <w:overflowPunct/>
              <w:autoSpaceDE/>
              <w:autoSpaceDN/>
              <w:adjustRightInd/>
              <w:spacing w:after="0"/>
              <w:ind w:left="720"/>
              <w:jc w:val="both"/>
              <w:textAlignment w:val="auto"/>
              <w:rPr>
                <w:bCs/>
                <w:sz w:val="20"/>
                <w:szCs w:val="20"/>
                <w:lang w:val="en-US"/>
              </w:rPr>
            </w:pPr>
          </w:p>
          <w:p>
            <w:pPr>
              <w:pStyle w:val="28"/>
              <w:widowControl w:val="0"/>
              <w:numPr>
                <w:ilvl w:val="0"/>
                <w:numId w:val="6"/>
              </w:numPr>
              <w:overflowPunct/>
              <w:autoSpaceDE/>
              <w:autoSpaceDN/>
              <w:adjustRightInd/>
              <w:spacing w:after="0"/>
              <w:ind w:firstLineChars="0"/>
              <w:contextualSpacing/>
              <w:jc w:val="both"/>
              <w:textAlignment w:val="auto"/>
              <w:rPr>
                <w:bCs/>
                <w:sz w:val="20"/>
                <w:szCs w:val="20"/>
                <w:lang w:val="en-US"/>
              </w:rPr>
            </w:pPr>
            <w:r>
              <w:rPr>
                <w:bCs/>
                <w:sz w:val="20"/>
                <w:szCs w:val="20"/>
                <w:lang w:val="en-US"/>
              </w:rPr>
              <w:t>NOTE 1: RAN1/3 work can be triggered via LS</w:t>
            </w:r>
          </w:p>
          <w:p>
            <w:pPr>
              <w:widowControl w:val="0"/>
              <w:overflowPunct/>
              <w:autoSpaceDE/>
              <w:autoSpaceDN/>
              <w:adjustRightInd/>
              <w:spacing w:after="0"/>
              <w:ind w:left="720"/>
              <w:jc w:val="both"/>
              <w:textAlignment w:val="auto"/>
              <w:rPr>
                <w:bCs/>
                <w:sz w:val="20"/>
                <w:szCs w:val="20"/>
                <w:lang w:val="en-US"/>
              </w:rPr>
            </w:pPr>
            <w:r>
              <w:rPr>
                <w:bCs/>
                <w:sz w:val="20"/>
                <w:szCs w:val="20"/>
                <w:lang w:val="en-US"/>
              </w:rPr>
              <w:t xml:space="preserve">NOTE 2: </w:t>
            </w:r>
            <w:r>
              <w:rPr>
                <w:bCs/>
                <w:sz w:val="20"/>
                <w:szCs w:val="20"/>
              </w:rPr>
              <w:t>To avoid duplicate study with “AI/ML for NG-RAN” led by RAN3</w:t>
            </w:r>
          </w:p>
          <w:p>
            <w:pPr>
              <w:widowControl w:val="0"/>
              <w:overflowPunct/>
              <w:autoSpaceDE/>
              <w:autoSpaceDN/>
              <w:adjustRightInd/>
              <w:spacing w:after="0"/>
              <w:ind w:left="720"/>
              <w:jc w:val="both"/>
              <w:textAlignment w:val="auto"/>
              <w:rPr>
                <w:bCs/>
                <w:szCs w:val="20"/>
              </w:rPr>
            </w:pPr>
            <w:r>
              <w:rPr>
                <w:bCs/>
                <w:sz w:val="20"/>
                <w:szCs w:val="20"/>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RAN2 assumptions</w:t>
      </w:r>
      <w:r>
        <w:rPr>
          <w:rFonts w:hint="eastAsia" w:eastAsia="宋体"/>
          <w:color w:val="auto"/>
          <w:sz w:val="20"/>
          <w:szCs w:val="20"/>
          <w:lang w:val="en-US" w:eastAsia="zh-CN"/>
        </w:rPr>
        <w:t xml:space="preserve"> of AI/ML for mobility from the RRM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 xml:space="preserve">In previous meeting, we discussed the priorities of different use cases and have reached consensus that RAN4 to start the discussion with RRM measurement prediction use-case [2]. For measurement event prediction use-case and RLF use-case, more progress is needed from RAN2, and RAN4 to only start the discussion of Measurement event prediction use-case and RLF use-case if sufficient progress in RAN2. </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9499" w:type="dxa"/>
          </w:tcPr>
          <w:p>
            <w:pPr>
              <w:pStyle w:val="59"/>
              <w:rPr>
                <w:b/>
                <w:bCs/>
                <w:u w:val="single"/>
                <w:lang w:val="en-US"/>
              </w:rPr>
            </w:pPr>
            <w:r>
              <w:rPr>
                <w:rFonts w:hint="eastAsia" w:eastAsia="宋体"/>
                <w:b/>
                <w:bCs/>
                <w:u w:val="single"/>
                <w:lang w:val="en-US" w:eastAsia="zh-CN"/>
              </w:rPr>
              <w:t>RAN4#112bis</w:t>
            </w:r>
            <w:r>
              <w:rPr>
                <w:b/>
                <w:bCs/>
                <w:u w:val="single"/>
                <w:lang w:val="en-US"/>
              </w:rPr>
              <w:t>: Priorities of different use cases</w:t>
            </w: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7"/>
              </w:numPr>
              <w:overflowPunct/>
              <w:autoSpaceDE/>
              <w:autoSpaceDN/>
              <w:adjustRightInd/>
              <w:snapToGrid w:val="0"/>
              <w:spacing w:after="120"/>
              <w:ind w:firstLineChars="0"/>
              <w:textAlignment w:val="auto"/>
              <w:rPr>
                <w:szCs w:val="21"/>
                <w:highlight w:val="none"/>
              </w:rPr>
            </w:pPr>
            <w:r>
              <w:rPr>
                <w:szCs w:val="21"/>
                <w:highlight w:val="none"/>
              </w:rPr>
              <w:t>RAN4 to start the discussion with RRM measurement prediction use-case from RAN4 #112bis meeting.</w:t>
            </w:r>
          </w:p>
          <w:p>
            <w:pPr>
              <w:spacing w:after="120"/>
              <w:rPr>
                <w:color w:val="000000" w:themeColor="text1"/>
                <w:szCs w:val="24"/>
                <w:highlight w:val="none"/>
                <w:lang w:eastAsia="zh-CN"/>
                <w14:textFill>
                  <w14:solidFill>
                    <w14:schemeClr w14:val="tx1"/>
                  </w14:solidFill>
                </w14:textFill>
              </w:rPr>
            </w:pPr>
          </w:p>
          <w:p>
            <w:pPr>
              <w:snapToGrid w:val="0"/>
              <w:spacing w:after="120"/>
              <w:rPr>
                <w:sz w:val="21"/>
                <w:szCs w:val="21"/>
                <w:highlight w:val="none"/>
                <w:lang w:eastAsia="zh-CN"/>
              </w:rPr>
            </w:pPr>
            <w:r>
              <w:rPr>
                <w:rFonts w:hint="eastAsia"/>
                <w:sz w:val="21"/>
                <w:szCs w:val="21"/>
                <w:highlight w:val="none"/>
                <w:lang w:eastAsia="zh-CN"/>
              </w:rPr>
              <w:t>A</w:t>
            </w:r>
            <w:r>
              <w:rPr>
                <w:sz w:val="21"/>
                <w:szCs w:val="21"/>
                <w:highlight w:val="none"/>
                <w:lang w:eastAsia="zh-CN"/>
              </w:rPr>
              <w:t>greement:</w:t>
            </w:r>
          </w:p>
          <w:p>
            <w:pPr>
              <w:pStyle w:val="28"/>
              <w:numPr>
                <w:ilvl w:val="1"/>
                <w:numId w:val="7"/>
              </w:numPr>
              <w:overflowPunct/>
              <w:autoSpaceDE/>
              <w:autoSpaceDN/>
              <w:adjustRightInd/>
              <w:snapToGrid w:val="0"/>
              <w:spacing w:after="120"/>
              <w:ind w:firstLineChars="0"/>
              <w:textAlignment w:val="auto"/>
              <w:rPr>
                <w:szCs w:val="21"/>
                <w:highlight w:val="none"/>
              </w:rPr>
            </w:pPr>
            <w:r>
              <w:rPr>
                <w:szCs w:val="21"/>
                <w:highlight w:val="none"/>
              </w:rPr>
              <w:t>RAN4 to only start the discussion of Measurement event prediction use-case and</w:t>
            </w:r>
            <w:r>
              <w:rPr>
                <w:bCs/>
                <w:szCs w:val="21"/>
                <w:highlight w:val="none"/>
              </w:rPr>
              <w:t xml:space="preserve"> RLF use-case</w:t>
            </w:r>
            <w:r>
              <w:rPr>
                <w:szCs w:val="21"/>
                <w:highlight w:val="none"/>
              </w:rPr>
              <w:t xml:space="preserve"> if sufficient progress in RAN2.</w:t>
            </w:r>
          </w:p>
          <w:p>
            <w:pPr>
              <w:pStyle w:val="28"/>
              <w:numPr>
                <w:ilvl w:val="1"/>
                <w:numId w:val="7"/>
              </w:numPr>
              <w:overflowPunct/>
              <w:autoSpaceDE/>
              <w:autoSpaceDN/>
              <w:adjustRightInd/>
              <w:snapToGrid w:val="0"/>
              <w:spacing w:after="120"/>
              <w:ind w:firstLineChars="0"/>
              <w:textAlignment w:val="auto"/>
              <w:rPr>
                <w:szCs w:val="21"/>
                <w:highlight w:val="none"/>
              </w:rPr>
            </w:pPr>
            <w:r>
              <w:rPr>
                <w:rFonts w:hint="eastAsia"/>
                <w:szCs w:val="21"/>
                <w:highlight w:val="none"/>
              </w:rPr>
              <w:t>T</w:t>
            </w:r>
            <w:r>
              <w:rPr>
                <w:szCs w:val="21"/>
                <w:highlight w:val="none"/>
              </w:rPr>
              <w:t>he earliest time to start the discussion for Measurement event prediction use-case is RAN4#114 meeting (Feb 2025).</w:t>
            </w:r>
          </w:p>
          <w:p>
            <w:pPr>
              <w:pStyle w:val="28"/>
              <w:numPr>
                <w:ilvl w:val="1"/>
                <w:numId w:val="7"/>
              </w:numPr>
              <w:overflowPunct/>
              <w:autoSpaceDE/>
              <w:autoSpaceDN/>
              <w:adjustRightInd/>
              <w:snapToGrid w:val="0"/>
              <w:spacing w:after="120"/>
              <w:ind w:firstLineChars="0"/>
              <w:textAlignment w:val="auto"/>
              <w:rPr>
                <w:szCs w:val="21"/>
                <w:highlight w:val="green"/>
              </w:rPr>
            </w:pPr>
            <w:r>
              <w:rPr>
                <w:rFonts w:hint="eastAsia"/>
                <w:szCs w:val="21"/>
                <w:highlight w:val="green"/>
              </w:rPr>
              <w:t>T</w:t>
            </w:r>
            <w:r>
              <w:rPr>
                <w:szCs w:val="21"/>
                <w:highlight w:val="green"/>
              </w:rPr>
              <w:t xml:space="preserve">he earliest time to start the discussion for </w:t>
            </w:r>
            <w:r>
              <w:rPr>
                <w:bCs/>
                <w:szCs w:val="21"/>
                <w:highlight w:val="green"/>
              </w:rPr>
              <w:t xml:space="preserve">RLF use-case is </w:t>
            </w:r>
            <w:r>
              <w:rPr>
                <w:szCs w:val="21"/>
                <w:highlight w:val="green"/>
              </w:rPr>
              <w:t>from RAN4#114bis meeting (Apr 2025).</w:t>
            </w:r>
          </w:p>
          <w:p>
            <w:pPr>
              <w:pStyle w:val="57"/>
              <w:numPr>
                <w:ilvl w:val="-1"/>
                <w:numId w:val="0"/>
              </w:numPr>
              <w:ind w:left="0" w:firstLine="0"/>
              <w:rPr>
                <w:rFonts w:hint="default" w:eastAsia="宋体"/>
                <w:lang w:val="en-US" w:eastAsia="zh-CN"/>
              </w:rPr>
            </w:pPr>
          </w:p>
        </w:tc>
      </w:tr>
    </w:tbl>
    <w:p>
      <w:pPr>
        <w:spacing w:after="157" w:afterLines="50"/>
        <w:rPr>
          <w:rFonts w:hint="eastAsia"/>
          <w:iCs/>
          <w:lang w:val="en-US" w:eastAsia="zh-CN"/>
        </w:rPr>
      </w:pPr>
      <w:r>
        <w:rPr>
          <w:rFonts w:hint="eastAsia"/>
          <w:iCs/>
          <w:lang w:val="en-US" w:eastAsia="zh-CN"/>
        </w:rPr>
        <w:t>According to the discussion on RAN2, they have reached consensus that RLF prediction would not be studied in R19 due to there is no enough time about RLF. In RAN4#112bis, we agreed that RAN4 to only start the discussion of RLF use-case if sufficient progress in RAN2. Therefore, RAN4 should align with RAN2 and RLF prediction will not be considered in Rel-19.</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7"/>
              <w:numPr>
                <w:ilvl w:val="-1"/>
                <w:numId w:val="0"/>
              </w:numPr>
              <w:ind w:left="0" w:firstLine="0"/>
              <w:rPr>
                <w:b/>
                <w:bCs/>
              </w:rPr>
            </w:pPr>
            <w:r>
              <w:rPr>
                <w:b/>
                <w:bCs/>
              </w:rPr>
              <w:t xml:space="preserve">Agreements on priority </w:t>
            </w:r>
          </w:p>
          <w:p>
            <w:pPr>
              <w:pStyle w:val="57"/>
              <w:numPr>
                <w:ilvl w:val="0"/>
                <w:numId w:val="8"/>
              </w:numPr>
              <w:ind w:left="0" w:firstLine="0"/>
              <w:rPr>
                <w:highlight w:val="green"/>
              </w:rPr>
            </w:pPr>
            <w:r>
              <w:rPr>
                <w:highlight w:val="green"/>
              </w:rPr>
              <w:t>RLF prediction will not be studied in Rel-19</w:t>
            </w:r>
          </w:p>
          <w:p>
            <w:pPr>
              <w:pStyle w:val="57"/>
              <w:numPr>
                <w:ilvl w:val="0"/>
                <w:numId w:val="8"/>
              </w:numPr>
              <w:ind w:left="0" w:firstLine="0"/>
            </w:pPr>
            <w:r>
              <w:t xml:space="preserve">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p>
            <w:pPr>
              <w:pStyle w:val="57"/>
              <w:numPr>
                <w:ilvl w:val="0"/>
                <w:numId w:val="8"/>
              </w:numPr>
              <w:ind w:left="0" w:firstLine="0"/>
            </w:pPr>
            <w:r>
              <w:t>Continue with generalization across cell configurations for RRM prediction</w:t>
            </w:r>
          </w:p>
          <w:p>
            <w:pPr>
              <w:pStyle w:val="57"/>
              <w:numPr>
                <w:ilvl w:val="0"/>
                <w:numId w:val="8"/>
              </w:numPr>
              <w:ind w:left="0" w:firstLine="0"/>
            </w:pPr>
            <w:r>
              <w:t xml:space="preserve">Continue with measurement events </w:t>
            </w:r>
          </w:p>
          <w:p>
            <w:pPr>
              <w:pStyle w:val="57"/>
              <w:numPr>
                <w:ilvl w:val="-1"/>
                <w:numId w:val="0"/>
              </w:numPr>
              <w:ind w:left="0" w:firstLine="0"/>
            </w:pPr>
          </w:p>
        </w:tc>
      </w:tr>
    </w:tbl>
    <w:p>
      <w:pPr>
        <w:spacing w:before="0" w:beforeLines="0" w:after="157" w:afterLines="50"/>
        <w:rPr>
          <w:rFonts w:hint="default"/>
          <w:b/>
          <w:bCs/>
          <w:iCs/>
          <w:lang w:val="en-US" w:eastAsia="zh-CN"/>
        </w:rPr>
      </w:pPr>
      <w:r>
        <w:rPr>
          <w:rFonts w:hint="eastAsia"/>
          <w:b/>
          <w:bCs/>
          <w:iCs/>
          <w:lang w:val="en-US" w:eastAsia="zh-CN"/>
        </w:rPr>
        <w:t>Proposal 1: Align with RAN2 and RLF prediction will not be studied in Rel-19.</w:t>
      </w:r>
    </w:p>
    <w:p>
      <w:pPr>
        <w:spacing w:before="0" w:beforeLines="0" w:after="157" w:afterLines="50"/>
        <w:rPr>
          <w:rFonts w:hint="eastAsia"/>
          <w:iCs/>
          <w:lang w:val="en-US" w:eastAsia="zh-CN"/>
        </w:rPr>
      </w:pPr>
      <w:r>
        <w:rPr>
          <w:rFonts w:hint="eastAsia"/>
          <w:iCs/>
          <w:lang w:val="en-US" w:eastAsia="zh-CN"/>
        </w:rPr>
        <w:t xml:space="preserve">In R18 AI/ML for air, there were </w:t>
      </w:r>
      <w:r>
        <w:rPr>
          <w:rFonts w:hint="eastAsia" w:eastAsia="宋体"/>
          <w:color w:val="auto"/>
          <w:sz w:val="20"/>
          <w:szCs w:val="20"/>
          <w:highlight w:val="none"/>
          <w:lang w:val="en-US" w:eastAsia="zh-CN"/>
        </w:rPr>
        <w:t xml:space="preserve">several typical use cases incorporated, including CSI feedback enhancement, beam management enhancement and positioning enhancement. </w:t>
      </w:r>
      <w:r>
        <w:rPr>
          <w:iCs/>
          <w:lang w:eastAsia="zh-CN"/>
        </w:rPr>
        <w:t>Since L3 measurement is based on filtering of L1 measurement, the study of AI/ML for air can be leveraged for mobility purpose</w:t>
      </w:r>
      <w:r>
        <w:rPr>
          <w:rFonts w:hint="eastAsia"/>
          <w:iCs/>
          <w:lang w:val="en-US" w:eastAsia="zh-CN"/>
        </w:rPr>
        <w:t xml:space="preserve">. Majority of </w:t>
      </w:r>
      <w:r>
        <w:rPr>
          <w:iCs/>
          <w:lang w:eastAsia="zh-CN"/>
        </w:rPr>
        <w:t xml:space="preserve">the study of </w:t>
      </w:r>
      <w:r>
        <w:rPr>
          <w:rFonts w:hint="eastAsia"/>
          <w:iCs/>
          <w:lang w:val="en-US" w:eastAsia="zh-CN"/>
        </w:rPr>
        <w:t xml:space="preserve">beam management in </w:t>
      </w:r>
      <w:r>
        <w:rPr>
          <w:iCs/>
          <w:lang w:eastAsia="zh-CN"/>
        </w:rPr>
        <w:t>AI/ML for air</w:t>
      </w:r>
      <w:r>
        <w:rPr>
          <w:rFonts w:hint="eastAsia"/>
          <w:iCs/>
          <w:lang w:val="en-US" w:eastAsia="zh-CN"/>
        </w:rPr>
        <w:t xml:space="preserve"> can be reused when we extend L1 beam measurement from serving cell to neighbor cell. </w:t>
      </w:r>
    </w:p>
    <w:p>
      <w:pPr>
        <w:pStyle w:val="57"/>
        <w:spacing w:before="0" w:beforeLines="0" w:after="157" w:afterLines="50"/>
        <w:ind w:left="0" w:firstLine="0"/>
        <w:rPr>
          <w:rFonts w:hint="eastAsia" w:eastAsia="宋体"/>
          <w:lang w:val="en-US" w:eastAsia="zh-CN"/>
        </w:rPr>
      </w:pPr>
      <w:r>
        <w:rPr>
          <w:rFonts w:hint="eastAsia"/>
          <w:szCs w:val="20"/>
          <w:lang w:val="en-US" w:eastAsia="zh-CN"/>
        </w:rPr>
        <w:t>It</w:t>
      </w:r>
      <w:r>
        <w:rPr>
          <w:rFonts w:hint="default"/>
          <w:szCs w:val="20"/>
          <w:lang w:val="en-US" w:eastAsia="zh-CN"/>
        </w:rPr>
        <w:t>’</w:t>
      </w:r>
      <w:r>
        <w:rPr>
          <w:rFonts w:hint="eastAsia"/>
          <w:szCs w:val="20"/>
          <w:lang w:val="en-US" w:eastAsia="zh-CN"/>
        </w:rPr>
        <w:t>s noted that both cell level measurement prediction and beam level measurement prediction are within the scope of RRM measurement prediction.</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8"/>
              <w:numPr>
                <w:ilvl w:val="-1"/>
                <w:numId w:val="0"/>
              </w:numPr>
              <w:ind w:left="0" w:firstLine="0"/>
              <w:rPr>
                <w:i w:val="0"/>
                <w:iCs/>
              </w:rPr>
            </w:pPr>
            <w:r>
              <w:rPr>
                <w:rFonts w:hint="eastAsia"/>
              </w:rPr>
              <w:t xml:space="preserve">=&gt; </w:t>
            </w:r>
            <w:r>
              <w:rPr>
                <w:rFonts w:hint="eastAsia"/>
                <w:i w:val="0"/>
                <w:iCs/>
              </w:rPr>
              <w:t>Cell level measurement prediction model</w:t>
            </w:r>
          </w:p>
          <w:p>
            <w:pPr>
              <w:pStyle w:val="58"/>
              <w:ind w:left="362" w:leftChars="100" w:hanging="162" w:hangingChars="81"/>
              <w:rPr>
                <w:i w:val="0"/>
                <w:iCs/>
              </w:rPr>
            </w:pPr>
            <w:r>
              <w:rPr>
                <w:i w:val="0"/>
                <w:iCs/>
              </w:rPr>
              <w:t>For cell level measurement prediction model, at least consider the following cases:</w:t>
            </w:r>
          </w:p>
          <w:p>
            <w:pPr>
              <w:pStyle w:val="58"/>
              <w:ind w:left="726"/>
              <w:rPr>
                <w:i w:val="0"/>
                <w:iCs/>
              </w:rPr>
            </w:pPr>
            <w:r>
              <w:rPr>
                <w:i w:val="0"/>
                <w:iCs/>
              </w:rPr>
              <w:t xml:space="preserve">Case 1: To predict beam level results, then generate cell level results based on the predicted beam results; </w:t>
            </w:r>
          </w:p>
          <w:p>
            <w:pPr>
              <w:pStyle w:val="58"/>
              <w:ind w:left="726"/>
              <w:rPr>
                <w:i w:val="0"/>
                <w:iCs/>
              </w:rPr>
            </w:pPr>
            <w:r>
              <w:rPr>
                <w:i w:val="0"/>
                <w:iCs/>
              </w:rPr>
              <w:t>Case 2: To directly predict cell level results based on cell level results.</w:t>
            </w:r>
          </w:p>
          <w:p>
            <w:pPr>
              <w:pStyle w:val="57"/>
              <w:ind w:left="726"/>
            </w:pPr>
            <w:r>
              <w:t xml:space="preserve">Case 3: To directly predict cell level results based on beam level results </w:t>
            </w:r>
          </w:p>
          <w:p>
            <w:pPr>
              <w:pStyle w:val="57"/>
              <w:ind w:left="726"/>
              <w:rPr>
                <w:rFonts w:hint="eastAsia"/>
              </w:rPr>
            </w:pPr>
          </w:p>
          <w:p>
            <w:pPr>
              <w:pStyle w:val="57"/>
              <w:numPr>
                <w:ilvl w:val="-1"/>
                <w:numId w:val="0"/>
              </w:numPr>
              <w:ind w:left="0" w:firstLine="0"/>
              <w:rPr>
                <w:rFonts w:hint="eastAsia"/>
              </w:rPr>
            </w:pPr>
            <w:r>
              <w:rPr>
                <w:rFonts w:hint="eastAsia"/>
              </w:rPr>
              <w:t xml:space="preserve">=&gt; Companies can consider to do L3 filtered beam level results for any of this cases.  L3 filtered beam level prediction cases are lower priority.  </w:t>
            </w:r>
          </w:p>
          <w:p>
            <w:pPr>
              <w:pStyle w:val="57"/>
              <w:ind w:left="726"/>
              <w:rPr>
                <w:rFonts w:hint="eastAsia"/>
              </w:rPr>
            </w:pPr>
            <w:r>
              <w:rPr>
                <w:rFonts w:hint="eastAsia"/>
              </w:rPr>
              <w:t>Case 1: To predict L1 filtered beam level results, then generate L3 filtered results based on the predicted L1 beam results.</w:t>
            </w:r>
          </w:p>
          <w:p>
            <w:pPr>
              <w:pStyle w:val="57"/>
              <w:ind w:left="726"/>
              <w:rPr>
                <w:rFonts w:hint="eastAsia"/>
              </w:rPr>
            </w:pPr>
            <w:r>
              <w:rPr>
                <w:rFonts w:hint="eastAsia"/>
              </w:rPr>
              <w:t>Case 2: To directly predict L3 filtered beam level results based on the L3 beam level measurement results.</w:t>
            </w:r>
          </w:p>
          <w:p>
            <w:pPr>
              <w:pStyle w:val="57"/>
              <w:ind w:left="726"/>
              <w:rPr>
                <w:rFonts w:hint="eastAsia"/>
              </w:rPr>
            </w:pPr>
            <w:r>
              <w:rPr>
                <w:rFonts w:hint="eastAsia"/>
              </w:rPr>
              <w:t>Case 3: To directly predict L3 filtered beam level results based on the L1 beam level measurement results.</w:t>
            </w:r>
          </w:p>
          <w:p>
            <w:pPr>
              <w:pStyle w:val="57"/>
              <w:numPr>
                <w:ilvl w:val="-1"/>
                <w:numId w:val="0"/>
              </w:numPr>
              <w:ind w:left="0" w:firstLine="0"/>
            </w:pPr>
          </w:p>
        </w:tc>
      </w:tr>
    </w:tbl>
    <w:p>
      <w:pPr>
        <w:spacing w:before="157" w:beforeLines="50" w:after="157" w:afterLines="50"/>
        <w:jc w:val="left"/>
      </w:pPr>
    </w:p>
    <w:p>
      <w:pPr>
        <w:spacing w:after="157" w:afterLines="50"/>
        <w:rPr>
          <w:rFonts w:hint="eastAsia" w:eastAsia="宋体"/>
          <w:b/>
          <w:bCs/>
          <w:iCs/>
          <w:lang w:val="en-US" w:eastAsia="zh-CN"/>
        </w:rPr>
      </w:pPr>
      <w:r>
        <w:rPr>
          <w:rFonts w:hint="eastAsia" w:eastAsia="宋体"/>
          <w:color w:val="auto"/>
          <w:lang w:val="en-US" w:eastAsia="zh-CN"/>
        </w:rPr>
        <w:t xml:space="preserve">We can observe that there are three sub-use cases need to be considered for cell level measurement. For case 1, beam level results are predicted first and then cell level results are derived. For case 2 and case 3, cell level results are predicted directly. </w:t>
      </w:r>
      <w:r>
        <w:rPr>
          <w:rFonts w:hint="eastAsia" w:eastAsia="宋体"/>
          <w:lang w:val="en-US" w:eastAsia="zh-CN"/>
        </w:rPr>
        <w:t xml:space="preserve">For beam level measurement prediction, under the discussion in RAN2, </w:t>
      </w:r>
      <w:r>
        <w:rPr>
          <w:rFonts w:hint="eastAsia"/>
        </w:rPr>
        <w:t>L3 filtered beam level prediction cases are lower priority</w:t>
      </w:r>
      <w:r>
        <w:rPr>
          <w:rFonts w:hint="eastAsia" w:eastAsia="宋体"/>
          <w:lang w:val="en-US" w:eastAsia="zh-CN"/>
        </w:rPr>
        <w:t xml:space="preserve"> and there are three cases as well.</w:t>
      </w:r>
    </w:p>
    <w:p>
      <w:pPr>
        <w:spacing w:before="120" w:beforeLines="50" w:after="0" w:afterLines="-2147483648"/>
        <w:jc w:val="both"/>
        <w:rPr>
          <w:rFonts w:hint="eastAsia" w:eastAsia="宋体"/>
          <w:lang w:val="en-US" w:eastAsia="zh-CN"/>
        </w:rPr>
      </w:pPr>
      <w:r>
        <w:rPr>
          <w:rFonts w:hint="eastAsia" w:eastAsiaTheme="minorEastAsia"/>
          <w:lang w:val="en-US" w:eastAsia="zh-CN"/>
        </w:rPr>
        <w:t>In our understanding,</w:t>
      </w:r>
      <w:r>
        <w:rPr>
          <w:rFonts w:eastAsiaTheme="minorEastAsia"/>
          <w:lang w:eastAsia="zh-CN"/>
        </w:rPr>
        <w:t xml:space="preserve"> all </w:t>
      </w:r>
      <w:r>
        <w:rPr>
          <w:rFonts w:hint="eastAsia" w:eastAsiaTheme="minorEastAsia"/>
          <w:lang w:eastAsia="zh-CN"/>
        </w:rPr>
        <w:t>the</w:t>
      </w:r>
      <w:r>
        <w:rPr>
          <w:rFonts w:eastAsiaTheme="minorEastAsia"/>
          <w:lang w:eastAsia="zh-CN"/>
        </w:rPr>
        <w:t xml:space="preserve"> three </w:t>
      </w:r>
      <w:r>
        <w:rPr>
          <w:rFonts w:hint="eastAsia" w:eastAsiaTheme="minorEastAsia"/>
          <w:lang w:eastAsia="zh-CN"/>
        </w:rPr>
        <w:t>cases</w:t>
      </w:r>
      <w:r>
        <w:rPr>
          <w:rFonts w:eastAsiaTheme="minorEastAsia"/>
          <w:lang w:eastAsia="zh-CN"/>
        </w:rPr>
        <w:t xml:space="preserve"> </w:t>
      </w:r>
      <w:r>
        <w:rPr>
          <w:rFonts w:hint="eastAsia" w:eastAsiaTheme="minorEastAsia"/>
          <w:lang w:eastAsia="zh-CN"/>
        </w:rPr>
        <w:t>are</w:t>
      </w:r>
      <w:r>
        <w:rPr>
          <w:rFonts w:eastAsiaTheme="minorEastAsia"/>
          <w:lang w:eastAsia="zh-CN"/>
        </w:rPr>
        <w:t xml:space="preserve"> </w:t>
      </w:r>
      <w:r>
        <w:rPr>
          <w:rFonts w:hint="eastAsia" w:eastAsiaTheme="minorEastAsia"/>
          <w:lang w:eastAsia="zh-CN"/>
        </w:rPr>
        <w:t>evaluated</w:t>
      </w:r>
      <w:r>
        <w:rPr>
          <w:rFonts w:eastAsiaTheme="minorEastAsia"/>
          <w:lang w:eastAsia="zh-CN"/>
        </w:rPr>
        <w:t xml:space="preserve"> </w:t>
      </w:r>
      <w:r>
        <w:rPr>
          <w:rFonts w:hint="eastAsia" w:eastAsiaTheme="minorEastAsia"/>
          <w:lang w:eastAsia="zh-CN"/>
        </w:rPr>
        <w:t>in</w:t>
      </w:r>
      <w:r>
        <w:rPr>
          <w:rFonts w:eastAsiaTheme="minorEastAsia"/>
          <w:lang w:eastAsia="zh-CN"/>
        </w:rPr>
        <w:t xml:space="preserve"> </w:t>
      </w:r>
      <w:r>
        <w:rPr>
          <w:rFonts w:hint="eastAsia" w:eastAsiaTheme="minorEastAsia"/>
          <w:lang w:eastAsia="zh-CN"/>
        </w:rPr>
        <w:t>RAN</w:t>
      </w:r>
      <w:r>
        <w:rPr>
          <w:rFonts w:eastAsiaTheme="minorEastAsia"/>
          <w:lang w:eastAsia="zh-CN"/>
        </w:rPr>
        <w:t xml:space="preserve">2 </w:t>
      </w:r>
      <w:r>
        <w:rPr>
          <w:rFonts w:hint="eastAsia" w:eastAsiaTheme="minorEastAsia"/>
          <w:lang w:eastAsia="zh-CN"/>
        </w:rPr>
        <w:t>and</w:t>
      </w:r>
      <w:r>
        <w:rPr>
          <w:rFonts w:eastAsiaTheme="minorEastAsia"/>
          <w:lang w:eastAsia="zh-CN"/>
        </w:rPr>
        <w:t xml:space="preserve"> </w:t>
      </w:r>
      <w:r>
        <w:rPr>
          <w:rFonts w:hint="eastAsia" w:eastAsiaTheme="minorEastAsia"/>
          <w:lang w:eastAsia="zh-CN"/>
        </w:rPr>
        <w:t>no</w:t>
      </w:r>
      <w:r>
        <w:rPr>
          <w:rFonts w:eastAsiaTheme="minorEastAsia"/>
          <w:lang w:eastAsia="zh-CN"/>
        </w:rPr>
        <w:t xml:space="preserve"> prioritization is </w:t>
      </w:r>
      <w:r>
        <w:rPr>
          <w:rFonts w:hint="eastAsia" w:eastAsiaTheme="minorEastAsia"/>
          <w:lang w:eastAsia="zh-CN"/>
        </w:rPr>
        <w:t>defined</w:t>
      </w:r>
      <w:r>
        <w:rPr>
          <w:rFonts w:hint="eastAsia" w:eastAsiaTheme="minorEastAsia"/>
          <w:lang w:val="en-US" w:eastAsia="zh-CN"/>
        </w:rPr>
        <w:t xml:space="preserve">. </w:t>
      </w:r>
      <w:r>
        <w:t>Therefore, we believe that neither case can be excluded or deprioritized</w:t>
      </w:r>
      <w:r>
        <w:rPr>
          <w:rFonts w:hint="eastAsia" w:eastAsia="宋体"/>
          <w:lang w:val="en-US" w:eastAsia="zh-CN"/>
        </w:rPr>
        <w:t>.</w:t>
      </w:r>
    </w:p>
    <w:p>
      <w:pPr>
        <w:spacing w:after="157" w:afterLines="50"/>
        <w:rPr>
          <w:rFonts w:hint="default" w:eastAsia="宋体"/>
          <w:b/>
          <w:bCs/>
          <w:iCs/>
          <w:lang w:val="en-US" w:eastAsia="zh-CN"/>
        </w:rPr>
      </w:pPr>
      <w:r>
        <w:rPr>
          <w:rFonts w:hint="eastAsia" w:eastAsia="宋体"/>
          <w:b/>
          <w:bCs/>
          <w:iCs/>
          <w:lang w:val="en-US" w:eastAsia="zh-CN"/>
        </w:rPr>
        <w:t xml:space="preserve">Proposal 2: RAN4 to consider all three sub-use cases </w:t>
      </w:r>
      <w:r>
        <w:rPr>
          <w:rFonts w:hint="eastAsia" w:eastAsiaTheme="minorEastAsia"/>
          <w:b/>
          <w:bCs/>
          <w:lang w:eastAsia="zh-CN"/>
        </w:rPr>
        <w:t>with</w:t>
      </w:r>
      <w:r>
        <w:rPr>
          <w:rFonts w:eastAsiaTheme="minorEastAsia"/>
          <w:b/>
          <w:bCs/>
          <w:lang w:eastAsia="zh-CN"/>
        </w:rPr>
        <w:t xml:space="preserve"> </w:t>
      </w:r>
      <w:r>
        <w:rPr>
          <w:rFonts w:hint="eastAsia" w:eastAsiaTheme="minorEastAsia"/>
          <w:b/>
          <w:bCs/>
          <w:lang w:eastAsia="zh-CN"/>
        </w:rPr>
        <w:t>no</w:t>
      </w:r>
      <w:r>
        <w:rPr>
          <w:rFonts w:eastAsiaTheme="minorEastAsia"/>
          <w:b/>
          <w:bCs/>
          <w:lang w:eastAsia="zh-CN"/>
        </w:rPr>
        <w:t xml:space="preserve"> </w:t>
      </w:r>
      <w:r>
        <w:rPr>
          <w:rFonts w:hint="eastAsia" w:eastAsiaTheme="minorEastAsia"/>
          <w:b/>
          <w:bCs/>
          <w:lang w:eastAsia="zh-CN"/>
        </w:rPr>
        <w:t>prioritization</w:t>
      </w:r>
      <w:r>
        <w:rPr>
          <w:rFonts w:hint="eastAsia" w:eastAsia="宋体"/>
          <w:b/>
          <w:bCs/>
          <w:iCs/>
          <w:lang w:val="en-US" w:eastAsia="zh-CN"/>
        </w:rPr>
        <w:t>.</w:t>
      </w:r>
    </w:p>
    <w:p>
      <w:pPr>
        <w:spacing w:before="157" w:beforeLines="50" w:after="157" w:afterLines="50"/>
        <w:rPr>
          <w:rFonts w:hint="default"/>
          <w:lang w:val="en-US" w:eastAsia="zh-CN"/>
        </w:rPr>
      </w:pPr>
      <w:r>
        <w:rPr>
          <w:rFonts w:hint="eastAsia"/>
          <w:lang w:val="en-US" w:eastAsia="zh-CN"/>
        </w:rPr>
        <w:t xml:space="preserve">According to the current assumption of RAN2, </w:t>
      </w:r>
      <w:r>
        <w:rPr>
          <w:rFonts w:hint="default"/>
          <w:lang w:val="en-US" w:eastAsia="zh-CN"/>
        </w:rPr>
        <w:t>evaluation scenarios for RRM measurement prediction</w:t>
      </w:r>
      <w:r>
        <w:rPr>
          <w:rFonts w:hint="eastAsia"/>
          <w:lang w:val="en-US" w:eastAsia="zh-CN"/>
        </w:rPr>
        <w:t xml:space="preserve"> can be observed from blew table.</w:t>
      </w:r>
    </w:p>
    <w:tbl>
      <w:tblPr>
        <w:tblStyle w:val="16"/>
        <w:tblW w:w="9524"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8"/>
        <w:gridCol w:w="1220"/>
        <w:gridCol w:w="4475"/>
        <w:gridCol w:w="1502"/>
        <w:gridCol w:w="12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Case number</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Prioritization </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Evaluation scenario combination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target study 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Methodology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FR1 to FR1 intra-frequency temporal domain caseA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2</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intra-frequency temporal domain caseB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3</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FR1 to FR1 inter-frequency (frequency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Inter-cell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4</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High</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FR2 to FR2 intra-frequency temporal domain case A</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2ndgoal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green"/>
                <w:lang w:val="en-US" w:eastAsia="zh-CN"/>
              </w:rPr>
            </w:pPr>
            <w:r>
              <w:rPr>
                <w:rFonts w:hint="eastAsia"/>
                <w:highlight w:val="green"/>
                <w:lang w:val="en-US" w:eastAsia="zh-CN"/>
              </w:rPr>
              <w:t>Intra-cell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5</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Low</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FR2 to FR2 intra-frequency temporal domain case B</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TBD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trPr>
        <w:tc>
          <w:tcPr>
            <w:tcW w:w="106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lang w:val="en-US" w:eastAsia="zh-CN"/>
              </w:rPr>
            </w:pPr>
            <w:r>
              <w:rPr>
                <w:rFonts w:hint="eastAsia"/>
                <w:lang w:val="en-US" w:eastAsia="zh-CN"/>
              </w:rPr>
              <w:t>6</w:t>
            </w:r>
          </w:p>
        </w:tc>
        <w:tc>
          <w:tcPr>
            <w:tcW w:w="122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Middle</w:t>
            </w:r>
          </w:p>
        </w:tc>
        <w:tc>
          <w:tcPr>
            <w:tcW w:w="4475"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FR2 to FR2 intra-frequency spatial domain</w:t>
            </w:r>
          </w:p>
        </w:tc>
        <w:tc>
          <w:tcPr>
            <w:tcW w:w="150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1stgoal</w:t>
            </w:r>
          </w:p>
        </w:tc>
        <w:tc>
          <w:tcPr>
            <w:tcW w:w="125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top"/>
          </w:tcPr>
          <w:p>
            <w:pPr>
              <w:rPr>
                <w:rFonts w:hint="eastAsia"/>
                <w:highlight w:val="yellow"/>
                <w:lang w:val="en-US" w:eastAsia="zh-CN"/>
              </w:rPr>
            </w:pPr>
            <w:r>
              <w:rPr>
                <w:rFonts w:hint="eastAsia"/>
                <w:highlight w:val="yellow"/>
                <w:lang w:val="en-US" w:eastAsia="zh-CN"/>
              </w:rPr>
              <w:t>Intra-cell</w:t>
            </w:r>
          </w:p>
        </w:tc>
      </w:tr>
    </w:tbl>
    <w:p>
      <w:pPr>
        <w:pStyle w:val="57"/>
        <w:spacing w:after="157" w:afterLines="50"/>
        <w:ind w:left="0" w:firstLine="0"/>
        <w:rPr>
          <w:rFonts w:hint="eastAsia" w:eastAsia="宋体"/>
          <w:b/>
          <w:bCs/>
          <w:lang w:val="en-US" w:eastAsia="zh-CN"/>
        </w:rPr>
      </w:pPr>
      <w:r>
        <w:rPr>
          <w:rFonts w:hint="eastAsia" w:eastAsia="宋体"/>
          <w:b w:val="0"/>
          <w:bCs w:val="0"/>
          <w:lang w:val="en-US" w:eastAsia="zh-CN"/>
        </w:rPr>
        <w:t>we noticed that intra cell is mentioned in methodology. It needs to be clarified that intra cell prediction in RAN2 includes two scenarios: serving cell prediction for serving cells and neighbor cell prediction for neighbor cells. Therefore, RAN4 should consider both serving cell and neighbor cell measurment prediction for intra-cell.</w:t>
      </w:r>
    </w:p>
    <w:p>
      <w:pPr>
        <w:spacing w:after="157" w:afterLines="50"/>
        <w:rPr>
          <w:rFonts w:hint="eastAsia" w:eastAsia="宋体"/>
          <w:b w:val="0"/>
          <w:bCs w:val="0"/>
          <w:lang w:val="en-US" w:eastAsia="zh-CN"/>
        </w:rPr>
      </w:pPr>
      <w:r>
        <w:rPr>
          <w:rFonts w:hint="eastAsia" w:eastAsia="宋体"/>
          <w:b w:val="0"/>
          <w:bCs w:val="0"/>
          <w:lang w:val="en-US" w:eastAsia="zh-CN"/>
        </w:rPr>
        <w:t xml:space="preserve">In addition, based on the current </w:t>
      </w:r>
      <w:r>
        <w:rPr>
          <w:rFonts w:hint="eastAsia"/>
          <w:lang w:val="en-US" w:eastAsia="zh-CN"/>
        </w:rPr>
        <w:t>prioritization</w:t>
      </w:r>
      <w:r>
        <w:rPr>
          <w:rFonts w:hint="eastAsia" w:eastAsia="宋体"/>
          <w:b w:val="0"/>
          <w:bCs w:val="0"/>
          <w:lang w:val="en-US" w:eastAsia="zh-CN"/>
        </w:rPr>
        <w:t xml:space="preserve"> defined by RAN2 for different scenarios, we need to at least consider secnarios 2, 3, and 4 with the high priority, which involve RRM measurement prediction in temproal domain and frequency domain. For scenario 6 with medium priority, it needs to wait for the progress of RAN2 or AI/ML beam management.</w:t>
      </w:r>
    </w:p>
    <w:p>
      <w:pPr>
        <w:spacing w:after="157" w:afterLines="50"/>
        <w:rPr>
          <w:rFonts w:hint="default" w:eastAsia="宋体"/>
          <w:lang w:val="en-US" w:eastAsia="zh-CN"/>
        </w:rPr>
      </w:pPr>
      <w:r>
        <w:rPr>
          <w:rFonts w:hint="eastAsia" w:eastAsia="宋体"/>
          <w:b w:val="0"/>
          <w:bCs w:val="0"/>
          <w:lang w:val="en-US" w:eastAsia="zh-CN"/>
        </w:rPr>
        <w:t xml:space="preserve">In the last meeting, RAN2 has discussed the scenario of </w:t>
      </w:r>
      <w:r>
        <w:t>intra-frequency spatial domain prediction</w:t>
      </w:r>
      <w:r>
        <w:rPr>
          <w:rFonts w:hint="eastAsia" w:eastAsia="宋体"/>
          <w:lang w:val="en-US" w:eastAsia="zh-CN"/>
        </w:rPr>
        <w:t xml:space="preserve"> for AI mobility and reached consensus as follow.</w:t>
      </w:r>
    </w:p>
    <w:p>
      <w:pPr>
        <w:pStyle w:val="57"/>
        <w:pBdr>
          <w:top w:val="single" w:color="auto" w:sz="4" w:space="1"/>
          <w:left w:val="single" w:color="auto" w:sz="4" w:space="4"/>
          <w:bottom w:val="single" w:color="auto" w:sz="4" w:space="1"/>
          <w:right w:val="single" w:color="auto" w:sz="4" w:space="4"/>
        </w:pBdr>
        <w:jc w:val="left"/>
        <w:rPr>
          <w:b/>
          <w:bCs/>
        </w:rPr>
      </w:pPr>
      <w:r>
        <w:rPr>
          <w:b/>
          <w:bCs/>
        </w:rPr>
        <w:t>Agreements</w:t>
      </w:r>
    </w:p>
    <w:p>
      <w:pPr>
        <w:pStyle w:val="57"/>
        <w:pBdr>
          <w:top w:val="single" w:color="auto" w:sz="4" w:space="1"/>
          <w:left w:val="single" w:color="auto" w:sz="4" w:space="4"/>
          <w:bottom w:val="single" w:color="auto" w:sz="4" w:space="1"/>
          <w:right w:val="single" w:color="auto" w:sz="4" w:space="4"/>
        </w:pBdr>
        <w:jc w:val="left"/>
      </w:pPr>
      <w:r>
        <w:t>1</w:t>
      </w:r>
      <w:r>
        <w:tab/>
      </w:r>
      <w:r>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w:t>
      </w:r>
    </w:p>
    <w:p>
      <w:pPr>
        <w:pStyle w:val="57"/>
        <w:pBdr>
          <w:top w:val="single" w:color="auto" w:sz="4" w:space="1"/>
          <w:left w:val="single" w:color="auto" w:sz="4" w:space="4"/>
          <w:bottom w:val="single" w:color="auto" w:sz="4" w:space="1"/>
          <w:right w:val="single" w:color="auto" w:sz="4" w:space="4"/>
        </w:pBdr>
        <w:jc w:val="left"/>
      </w:pPr>
      <w:r>
        <w:t>2</w:t>
      </w:r>
      <w:r>
        <w:rPr>
          <w:highlight w:val="green"/>
        </w:rPr>
        <w:tab/>
      </w:r>
      <w:r>
        <w:rPr>
          <w:highlight w:val="green"/>
        </w:rPr>
        <w:t>The specification impact of intra-frequency spatial domain prediction in beam dimension will be studied by RAN2 for both UE-side and network-side model.</w:t>
      </w:r>
    </w:p>
    <w:p>
      <w:pPr>
        <w:spacing w:after="157" w:afterLines="50"/>
        <w:rPr>
          <w:rFonts w:hint="eastAsia" w:eastAsia="宋体"/>
          <w:b/>
          <w:bCs/>
          <w:iCs/>
          <w:lang w:val="en-US" w:eastAsia="zh-CN"/>
        </w:rPr>
      </w:pPr>
      <w:r>
        <w:rPr>
          <w:rFonts w:hint="eastAsia" w:eastAsia="宋体"/>
          <w:b w:val="0"/>
          <w:bCs w:val="0"/>
          <w:lang w:val="en-US" w:eastAsia="zh-CN"/>
        </w:rPr>
        <w:t xml:space="preserve">For cell-level prediction, UE side model is not considered in 5G. Meanwhile, how to perform cell level prediction on NW side model is up to NW implementation and no spec impact. For beam level prediction, the spatial domain prediction is applicable for both UE side model and NW side model. Therefore, from RAN4 prespective, we should study </w:t>
      </w:r>
      <w:r>
        <w:rPr>
          <w:rFonts w:hint="eastAsia" w:eastAsia="宋体"/>
          <w:b w:val="0"/>
          <w:bCs w:val="0"/>
          <w:iCs/>
          <w:lang w:val="en-US" w:eastAsia="zh-CN"/>
        </w:rPr>
        <w:t xml:space="preserve">the RRM </w:t>
      </w:r>
      <w:r>
        <w:t>impact of intra-frequency spatial domain prediction</w:t>
      </w:r>
      <w:r>
        <w:rPr>
          <w:rFonts w:hint="eastAsia" w:eastAsia="宋体"/>
          <w:lang w:val="en-US" w:eastAsia="zh-CN"/>
        </w:rPr>
        <w:t xml:space="preserve"> </w:t>
      </w:r>
      <w:r>
        <w:t>in beam dimension</w:t>
      </w:r>
      <w:r>
        <w:rPr>
          <w:rFonts w:hint="eastAsia" w:eastAsia="宋体"/>
          <w:lang w:val="en-US" w:eastAsia="zh-CN"/>
        </w:rPr>
        <w:t>.</w:t>
      </w:r>
    </w:p>
    <w:p>
      <w:pPr>
        <w:spacing w:after="157" w:afterLines="50"/>
        <w:rPr>
          <w:rFonts w:hint="eastAsia" w:eastAsia="宋体"/>
          <w:b/>
          <w:bCs/>
          <w:iCs/>
          <w:lang w:val="en-US" w:eastAsia="zh-CN"/>
        </w:rPr>
      </w:pPr>
      <w:r>
        <w:rPr>
          <w:b/>
          <w:bCs/>
          <w:iCs/>
          <w:lang w:val="en-US"/>
        </w:rPr>
        <w:t>P</w:t>
      </w:r>
      <w:r>
        <w:rPr>
          <w:rFonts w:hint="eastAsia"/>
          <w:b/>
          <w:bCs/>
          <w:iCs/>
          <w:lang w:val="en-US"/>
        </w:rPr>
        <w:t>roposal</w:t>
      </w:r>
      <w:r>
        <w:rPr>
          <w:rFonts w:hint="eastAsia" w:eastAsia="宋体"/>
          <w:b/>
          <w:bCs/>
          <w:iCs/>
          <w:lang w:val="en-US" w:eastAsia="zh-CN"/>
        </w:rPr>
        <w:t xml:space="preserve"> 3</w:t>
      </w:r>
      <w:r>
        <w:rPr>
          <w:rFonts w:hint="eastAsia"/>
          <w:b/>
          <w:bCs/>
          <w:iCs/>
          <w:lang w:val="en-US"/>
        </w:rPr>
        <w:t>:</w:t>
      </w:r>
      <w:r>
        <w:rPr>
          <w:b/>
          <w:bCs/>
          <w:iCs/>
          <w:lang w:val="en-US"/>
        </w:rPr>
        <w:t xml:space="preserve"> RAN4 to study the three high-priority scenarios of scenario 2, 3 and 4 first </w:t>
      </w:r>
      <w:r>
        <w:rPr>
          <w:rFonts w:eastAsia="Yu Mincho"/>
          <w:b/>
          <w:bCs/>
          <w:szCs w:val="21"/>
        </w:rPr>
        <w:t>for measurement prediction use-case</w:t>
      </w:r>
      <w:r>
        <w:rPr>
          <w:rFonts w:hint="eastAsia" w:eastAsia="宋体"/>
          <w:b/>
          <w:bCs/>
          <w:szCs w:val="21"/>
          <w:lang w:val="en-US" w:eastAsia="zh-CN"/>
        </w:rPr>
        <w:t xml:space="preserve"> in </w:t>
      </w:r>
      <w:r>
        <w:rPr>
          <w:b/>
          <w:bCs/>
        </w:rPr>
        <w:t>cell dimension</w:t>
      </w:r>
      <w:r>
        <w:rPr>
          <w:rFonts w:hint="eastAsia" w:eastAsia="宋体"/>
          <w:b/>
          <w:bCs/>
          <w:lang w:val="en-US" w:eastAsia="zh-CN"/>
        </w:rPr>
        <w:t xml:space="preserve"> and beam</w:t>
      </w:r>
      <w:r>
        <w:rPr>
          <w:b/>
          <w:bCs/>
        </w:rPr>
        <w:t xml:space="preserve"> dimension</w:t>
      </w:r>
      <w:r>
        <w:rPr>
          <w:b/>
          <w:bCs/>
          <w:iCs/>
          <w:lang w:val="en-US"/>
        </w:rPr>
        <w:t>.</w:t>
      </w:r>
      <w:r>
        <w:rPr>
          <w:rFonts w:hint="eastAsia" w:eastAsia="宋体"/>
          <w:b/>
          <w:bCs/>
          <w:iCs/>
          <w:lang w:val="en-US" w:eastAsia="zh-CN"/>
        </w:rPr>
        <w:t xml:space="preserve"> </w:t>
      </w:r>
    </w:p>
    <w:p>
      <w:pPr>
        <w:spacing w:after="157" w:afterLines="50"/>
        <w:rPr>
          <w:rFonts w:hint="eastAsia" w:eastAsia="宋体"/>
          <w:b/>
          <w:bCs/>
          <w:iCs/>
          <w:lang w:val="en-US" w:eastAsia="zh-CN"/>
        </w:rPr>
      </w:pPr>
      <w:r>
        <w:rPr>
          <w:rFonts w:hint="eastAsia" w:eastAsia="宋体"/>
          <w:b/>
          <w:bCs/>
          <w:iCs/>
          <w:lang w:val="en-US" w:eastAsia="zh-CN"/>
        </w:rPr>
        <w:t xml:space="preserve">Proposal 4: RAN4 to study the RRM </w:t>
      </w:r>
      <w:r>
        <w:rPr>
          <w:b/>
          <w:bCs/>
        </w:rPr>
        <w:t>impact of intra-frequency spatial domain prediction</w:t>
      </w:r>
      <w:r>
        <w:rPr>
          <w:rFonts w:hint="eastAsia" w:eastAsia="宋体"/>
          <w:b/>
          <w:bCs/>
          <w:lang w:val="en-US" w:eastAsia="zh-CN"/>
        </w:rPr>
        <w:t xml:space="preserve"> (</w:t>
      </w:r>
      <w:r>
        <w:rPr>
          <w:rFonts w:hint="eastAsia" w:eastAsia="宋体"/>
          <w:b/>
          <w:bCs/>
          <w:iCs/>
          <w:lang w:val="en-US" w:eastAsia="zh-CN"/>
        </w:rPr>
        <w:t>scenario 6</w:t>
      </w:r>
      <w:r>
        <w:rPr>
          <w:rFonts w:hint="eastAsia" w:eastAsia="宋体"/>
          <w:b/>
          <w:bCs/>
          <w:lang w:val="en-US" w:eastAsia="zh-CN"/>
        </w:rPr>
        <w:t>)</w:t>
      </w:r>
      <w:r>
        <w:rPr>
          <w:b/>
          <w:bCs/>
        </w:rPr>
        <w:t xml:space="preserve"> in beam dimension</w:t>
      </w:r>
      <w:r>
        <w:rPr>
          <w:rFonts w:hint="eastAsia" w:eastAsia="宋体"/>
          <w:b/>
          <w:bCs/>
          <w:lang w:val="en-US" w:eastAsia="zh-CN"/>
        </w:rPr>
        <w:t>.</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before="0" w:beforeLines="0" w:after="157" w:afterLines="50"/>
        <w:rPr>
          <w:rFonts w:hint="eastAsia"/>
          <w:b/>
          <w:bCs/>
          <w:iCs/>
          <w:lang w:val="en-US" w:eastAsia="zh-CN"/>
        </w:rPr>
      </w:pPr>
      <w:r>
        <w:rPr>
          <w:rFonts w:hint="eastAsia"/>
          <w:b/>
          <w:bCs/>
          <w:iCs/>
          <w:lang w:val="en-US" w:eastAsia="zh-CN"/>
        </w:rPr>
        <w:t>Proposal 1: Align with RAN2 and RLF prediction will not be studied in Rel-19.</w:t>
      </w:r>
    </w:p>
    <w:p>
      <w:pPr>
        <w:spacing w:before="0" w:beforeLines="0" w:after="157" w:afterLines="50"/>
        <w:rPr>
          <w:rFonts w:hint="default"/>
          <w:b/>
          <w:bCs/>
          <w:iCs/>
          <w:lang w:val="en-US" w:eastAsia="zh-CN"/>
        </w:rPr>
      </w:pPr>
      <w:r>
        <w:rPr>
          <w:rFonts w:hint="eastAsia" w:eastAsia="宋体"/>
          <w:b/>
          <w:bCs/>
          <w:iCs/>
          <w:lang w:val="en-US" w:eastAsia="zh-CN"/>
        </w:rPr>
        <w:t xml:space="preserve">Proposal 2: RAN4 to consider all three sub-use cases </w:t>
      </w:r>
      <w:r>
        <w:rPr>
          <w:rFonts w:hint="eastAsia" w:eastAsiaTheme="minorEastAsia"/>
          <w:b/>
          <w:bCs/>
          <w:lang w:eastAsia="zh-CN"/>
        </w:rPr>
        <w:t>with</w:t>
      </w:r>
      <w:r>
        <w:rPr>
          <w:rFonts w:eastAsiaTheme="minorEastAsia"/>
          <w:b/>
          <w:bCs/>
          <w:lang w:eastAsia="zh-CN"/>
        </w:rPr>
        <w:t xml:space="preserve"> </w:t>
      </w:r>
      <w:r>
        <w:rPr>
          <w:rFonts w:hint="eastAsia" w:eastAsiaTheme="minorEastAsia"/>
          <w:b/>
          <w:bCs/>
          <w:lang w:eastAsia="zh-CN"/>
        </w:rPr>
        <w:t>no</w:t>
      </w:r>
      <w:r>
        <w:rPr>
          <w:rFonts w:eastAsiaTheme="minorEastAsia"/>
          <w:b/>
          <w:bCs/>
          <w:lang w:eastAsia="zh-CN"/>
        </w:rPr>
        <w:t xml:space="preserve"> </w:t>
      </w:r>
      <w:r>
        <w:rPr>
          <w:rFonts w:hint="eastAsia" w:eastAsiaTheme="minorEastAsia"/>
          <w:b/>
          <w:bCs/>
          <w:lang w:eastAsia="zh-CN"/>
        </w:rPr>
        <w:t>prioritization</w:t>
      </w:r>
      <w:r>
        <w:rPr>
          <w:rFonts w:hint="eastAsia" w:eastAsia="宋体"/>
          <w:b/>
          <w:bCs/>
          <w:iCs/>
          <w:lang w:val="en-US" w:eastAsia="zh-CN"/>
        </w:rPr>
        <w:t>.</w:t>
      </w:r>
    </w:p>
    <w:p>
      <w:pPr>
        <w:spacing w:after="157" w:afterLines="50"/>
        <w:rPr>
          <w:rFonts w:hint="eastAsia" w:eastAsia="宋体"/>
          <w:b/>
          <w:bCs/>
          <w:iCs/>
          <w:lang w:val="en-US" w:eastAsia="zh-CN"/>
        </w:rPr>
      </w:pPr>
      <w:r>
        <w:rPr>
          <w:b/>
          <w:bCs/>
          <w:iCs/>
          <w:lang w:val="en-US"/>
        </w:rPr>
        <w:t>P</w:t>
      </w:r>
      <w:r>
        <w:rPr>
          <w:rFonts w:hint="eastAsia"/>
          <w:b/>
          <w:bCs/>
          <w:iCs/>
          <w:lang w:val="en-US"/>
        </w:rPr>
        <w:t>roposal</w:t>
      </w:r>
      <w:r>
        <w:rPr>
          <w:rFonts w:hint="eastAsia" w:eastAsia="宋体"/>
          <w:b/>
          <w:bCs/>
          <w:iCs/>
          <w:lang w:val="en-US" w:eastAsia="zh-CN"/>
        </w:rPr>
        <w:t xml:space="preserve"> 3</w:t>
      </w:r>
      <w:r>
        <w:rPr>
          <w:rFonts w:hint="eastAsia"/>
          <w:b/>
          <w:bCs/>
          <w:iCs/>
          <w:lang w:val="en-US"/>
        </w:rPr>
        <w:t>:</w:t>
      </w:r>
      <w:r>
        <w:rPr>
          <w:b/>
          <w:bCs/>
          <w:iCs/>
          <w:lang w:val="en-US"/>
        </w:rPr>
        <w:t xml:space="preserve"> RAN4 to study the three high-priority scenarios of scenario 2, 3 and 4 first </w:t>
      </w:r>
      <w:r>
        <w:rPr>
          <w:rFonts w:eastAsia="Yu Mincho"/>
          <w:b/>
          <w:bCs/>
          <w:szCs w:val="21"/>
        </w:rPr>
        <w:t>for measurement prediction use-case</w:t>
      </w:r>
      <w:r>
        <w:rPr>
          <w:rFonts w:hint="eastAsia" w:eastAsia="宋体"/>
          <w:b/>
          <w:bCs/>
          <w:szCs w:val="21"/>
          <w:lang w:val="en-US" w:eastAsia="zh-CN"/>
        </w:rPr>
        <w:t xml:space="preserve"> in </w:t>
      </w:r>
      <w:r>
        <w:rPr>
          <w:b/>
          <w:bCs/>
        </w:rPr>
        <w:t>cell dimension</w:t>
      </w:r>
      <w:r>
        <w:rPr>
          <w:rFonts w:hint="eastAsia" w:eastAsia="宋体"/>
          <w:b/>
          <w:bCs/>
          <w:lang w:val="en-US" w:eastAsia="zh-CN"/>
        </w:rPr>
        <w:t xml:space="preserve"> and beam</w:t>
      </w:r>
      <w:r>
        <w:rPr>
          <w:b/>
          <w:bCs/>
        </w:rPr>
        <w:t xml:space="preserve"> dimension</w:t>
      </w:r>
      <w:r>
        <w:rPr>
          <w:b/>
          <w:bCs/>
          <w:iCs/>
          <w:lang w:val="en-US"/>
        </w:rPr>
        <w:t>.</w:t>
      </w:r>
      <w:r>
        <w:rPr>
          <w:rFonts w:hint="eastAsia" w:eastAsia="宋体"/>
          <w:b/>
          <w:bCs/>
          <w:iCs/>
          <w:lang w:val="en-US" w:eastAsia="zh-CN"/>
        </w:rPr>
        <w:t xml:space="preserve"> </w:t>
      </w:r>
    </w:p>
    <w:p>
      <w:pPr>
        <w:spacing w:after="157" w:afterLines="50"/>
        <w:rPr>
          <w:rFonts w:hint="eastAsia" w:eastAsia="宋体"/>
          <w:b/>
          <w:bCs/>
          <w:iCs/>
          <w:lang w:val="en-US" w:eastAsia="zh-CN"/>
        </w:rPr>
      </w:pPr>
      <w:r>
        <w:rPr>
          <w:rFonts w:hint="eastAsia" w:eastAsia="宋体"/>
          <w:b/>
          <w:bCs/>
          <w:iCs/>
          <w:lang w:val="en-US" w:eastAsia="zh-CN"/>
        </w:rPr>
        <w:t xml:space="preserve">Proposal 4: RAN4 to study the RRM </w:t>
      </w:r>
      <w:r>
        <w:rPr>
          <w:b/>
          <w:bCs/>
        </w:rPr>
        <w:t>impact of intra-frequency spatial domain prediction</w:t>
      </w:r>
      <w:r>
        <w:rPr>
          <w:rFonts w:hint="eastAsia" w:eastAsia="宋体"/>
          <w:b/>
          <w:bCs/>
          <w:lang w:val="en-US" w:eastAsia="zh-CN"/>
        </w:rPr>
        <w:t xml:space="preserve"> (</w:t>
      </w:r>
      <w:r>
        <w:rPr>
          <w:rFonts w:hint="eastAsia" w:eastAsia="宋体"/>
          <w:b/>
          <w:bCs/>
          <w:iCs/>
          <w:lang w:val="en-US" w:eastAsia="zh-CN"/>
        </w:rPr>
        <w:t>scenario 6</w:t>
      </w:r>
      <w:r>
        <w:rPr>
          <w:rFonts w:hint="eastAsia" w:eastAsia="宋体"/>
          <w:b/>
          <w:bCs/>
          <w:lang w:val="en-US" w:eastAsia="zh-CN"/>
        </w:rPr>
        <w:t>)</w:t>
      </w:r>
      <w:r>
        <w:rPr>
          <w:b/>
          <w:bCs/>
        </w:rPr>
        <w:t xml:space="preserve"> in beam dimension</w:t>
      </w:r>
      <w:r>
        <w:rPr>
          <w:rFonts w:hint="eastAsia" w:eastAsia="宋体"/>
          <w:b/>
          <w:bCs/>
          <w:lang w:val="en-US" w:eastAsia="zh-CN"/>
        </w:rPr>
        <w:t>.</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1" w:name="_Ref101451885"/>
      <w:r>
        <w:rPr>
          <w:rFonts w:hint="eastAsia"/>
          <w:lang w:val="en-US" w:eastAsia="zh-CN"/>
        </w:rPr>
        <w:t xml:space="preserve">RP-242393, Revised SID on AIML for mobility in NR , </w:t>
      </w:r>
      <w:bookmarkEnd w:id="1"/>
      <w:r>
        <w:rPr>
          <w:rFonts w:hint="eastAsia"/>
          <w:lang w:val="en-US" w:eastAsia="zh-CN"/>
        </w:rPr>
        <w:t>OPPO (rapporteur)</w:t>
      </w:r>
    </w:p>
    <w:p>
      <w:pPr>
        <w:pStyle w:val="9"/>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R4-2508268</w:t>
      </w:r>
      <w:r>
        <w:rPr>
          <w:rFonts w:hint="eastAsia"/>
          <w:lang w:val="en-US" w:eastAsia="zh-CN"/>
        </w:rPr>
        <w:fldChar w:fldCharType="end"/>
      </w:r>
      <w:r>
        <w:rPr>
          <w:rFonts w:hint="eastAsia"/>
          <w:lang w:val="en-US" w:eastAsia="zh-CN"/>
        </w:rPr>
        <w:t>, WF on FS_NR_AIML_Mob_Part1, Nokia</w:t>
      </w:r>
    </w:p>
    <w:p>
      <w:pPr>
        <w:pStyle w:val="9"/>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R4-2508269</w:t>
      </w:r>
      <w:r>
        <w:rPr>
          <w:rFonts w:hint="eastAsia"/>
          <w:lang w:val="en-US" w:eastAsia="zh-CN"/>
        </w:rPr>
        <w:fldChar w:fldCharType="end"/>
      </w:r>
      <w:r>
        <w:rPr>
          <w:rFonts w:hint="eastAsia"/>
          <w:lang w:val="en-US" w:eastAsia="zh-CN"/>
        </w:rPr>
        <w:t>, WF on FS_NR_AIML_Mob_Part2, OPPO</w:t>
      </w:r>
    </w:p>
    <w:p>
      <w:pPr>
        <w:pStyle w:val="9"/>
        <w:numPr>
          <w:ilvl w:val="0"/>
          <w:numId w:val="9"/>
        </w:numPr>
        <w:ind w:left="0" w:leftChars="0" w:firstLine="0" w:firstLineChars="0"/>
        <w:rPr>
          <w:rFonts w:hint="eastAsia"/>
          <w:lang w:val="en-US" w:eastAsia="zh-CN"/>
        </w:rPr>
      </w:pPr>
      <w:r>
        <w:rPr>
          <w:rFonts w:hint="eastAsia"/>
          <w:lang w:val="en-US" w:eastAsia="zh-CN"/>
        </w:rPr>
        <w:t>R2_130_Chair_minutes_2025-05-23_final</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25A3E1B"/>
    <w:multiLevelType w:val="singleLevel"/>
    <w:tmpl w:val="825A3E1B"/>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1"/>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0146DC0"/>
    <w:multiLevelType w:val="multilevel"/>
    <w:tmpl w:val="70146DC0"/>
    <w:lvl w:ilvl="0" w:tentative="0">
      <w:start w:val="1"/>
      <w:numFmt w:val="bullet"/>
      <w:pStyle w:val="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2F91F29"/>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E74BB3"/>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1E47C1"/>
    <w:rsid w:val="207F09D0"/>
    <w:rsid w:val="208364FC"/>
    <w:rsid w:val="208953F9"/>
    <w:rsid w:val="2097232D"/>
    <w:rsid w:val="20B2762E"/>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C05B2C"/>
    <w:rsid w:val="2BD319CC"/>
    <w:rsid w:val="2BD617C5"/>
    <w:rsid w:val="2C112837"/>
    <w:rsid w:val="2C5D1885"/>
    <w:rsid w:val="2C974249"/>
    <w:rsid w:val="2C9B1252"/>
    <w:rsid w:val="2C9C2786"/>
    <w:rsid w:val="2C9E7C7C"/>
    <w:rsid w:val="2CC13667"/>
    <w:rsid w:val="2DC615EA"/>
    <w:rsid w:val="2E014790"/>
    <w:rsid w:val="2E6A7558"/>
    <w:rsid w:val="2EE77680"/>
    <w:rsid w:val="2EF850E2"/>
    <w:rsid w:val="2F2F0FC8"/>
    <w:rsid w:val="2F371BBC"/>
    <w:rsid w:val="2F983574"/>
    <w:rsid w:val="2FA70460"/>
    <w:rsid w:val="301C6BB6"/>
    <w:rsid w:val="30230CE6"/>
    <w:rsid w:val="308B0627"/>
    <w:rsid w:val="30A55BC4"/>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C401C3"/>
    <w:rsid w:val="6912549A"/>
    <w:rsid w:val="69A833BD"/>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60">
    <w:name w:val="Agreement"/>
    <w:basedOn w:val="1"/>
    <w:next w:val="57"/>
    <w:qFormat/>
    <w:uiPriority w:val="99"/>
    <w:pPr>
      <w:numPr>
        <w:ilvl w:val="0"/>
        <w:numId w:val="3"/>
      </w:numPr>
      <w:spacing w:before="60"/>
    </w:pPr>
    <w:rPr>
      <w:b/>
    </w:rPr>
  </w:style>
  <w:style w:type="paragraph" w:customStyle="1" w:styleId="61">
    <w:name w:val="RAN4 H2"/>
    <w:basedOn w:val="3"/>
    <w:next w:val="1"/>
    <w:qFormat/>
    <w:uiPriority w:val="0"/>
    <w:pPr>
      <w:numPr>
        <w:ilvl w:val="1"/>
        <w:numId w:val="4"/>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2025-08-15T08:12:30Z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B1B9BB6CA1FF413D914948B98876BB68</vt:lpwstr>
  </property>
</Properties>
</file>